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start"/>
        <w:tblInd w:w="55" w:type="dxa"/>
        <w:tblLayout w:type="fixed"/>
        <w:tblCellMar>
          <w:top w:w="55" w:type="dxa"/>
          <w:start w:w="55" w:type="dxa"/>
          <w:bottom w:w="55" w:type="dxa"/>
          <w:end w:w="55" w:type="dxa"/>
        </w:tblCellMar>
      </w:tblPr>
      <w:tblGrid>
        <w:gridCol w:w="9026"/>
      </w:tblGrid>
      <w:tr>
        <w:trPr/>
        <w:tc>
          <w:tcPr>
            <w:tcW w:w="9026" w:type="dxa"/>
            <w:tcBorders/>
            <w:shd w:fill="F0EDE2" w:val="clear"/>
          </w:tcPr>
          <w:p>
            <w:pPr>
              <w:pStyle w:val="BodyText"/>
              <w:spacing w:before="0" w:after="0"/>
              <w:jc w:val="center"/>
              <w:rPr>
                <w:rFonts w:ascii="Times New Roman" w:hAnsi="Times New Roman"/>
              </w:rPr>
            </w:pPr>
            <w:r>
              <w:rPr>
                <w:rFonts w:ascii="Times New Roman" w:hAnsi="Times New Roman"/>
                <w:b/>
                <w:color w:val="000000"/>
                <w:sz w:val="18"/>
                <w:szCs w:val="18"/>
              </w:rPr>
              <w:t>[</w:t>
            </w:r>
            <w:r>
              <w:rPr>
                <w:rFonts w:ascii="Times New Roman" w:hAnsi="Times New Roman"/>
                <w:b/>
                <w:color w:val="2A6099"/>
                <w:sz w:val="18"/>
                <w:szCs w:val="18"/>
              </w:rPr>
              <w:t>INSTRUCTIONS FOR AUTHORS</w:t>
            </w:r>
            <w:r>
              <w:rPr>
                <w:rFonts w:ascii="Times New Roman" w:hAnsi="Times New Roman"/>
                <w:b/>
                <w:color w:val="000000"/>
                <w:sz w:val="18"/>
                <w:szCs w:val="18"/>
              </w:rPr>
              <w:t xml:space="preserve"> – PLEASE</w:t>
            </w:r>
            <w:r>
              <w:rPr>
                <w:rFonts w:ascii="Times New Roman" w:hAnsi="Times New Roman"/>
                <w:b/>
                <w:color w:val="BF0041"/>
                <w:sz w:val="18"/>
                <w:szCs w:val="18"/>
              </w:rPr>
              <w:t xml:space="preserve"> DELETE </w:t>
            </w:r>
            <w:r>
              <w:rPr>
                <w:rFonts w:ascii="Times New Roman" w:hAnsi="Times New Roman"/>
                <w:b/>
                <w:color w:val="000000"/>
                <w:sz w:val="18"/>
                <w:szCs w:val="18"/>
              </w:rPr>
              <w:t>BEFORE SUBMITTING]</w:t>
            </w:r>
          </w:p>
          <w:p>
            <w:pPr>
              <w:pStyle w:val="BodyText"/>
              <w:widowControl w:val="false"/>
              <w:spacing w:before="0" w:after="0"/>
              <w:jc w:val="center"/>
              <w:rPr>
                <w:rFonts w:ascii="Times New Roman" w:hAnsi="Times New Roman"/>
              </w:rPr>
            </w:pPr>
            <w:r>
              <w:rPr>
                <w:rFonts w:ascii="Times New Roman" w:hAnsi="Times New Roman"/>
                <w:i/>
                <w:iCs/>
                <w:sz w:val="18"/>
                <w:szCs w:val="18"/>
              </w:rPr>
              <w:t>This template is pre-formatted according to the editorial standards of the</w:t>
            </w:r>
            <w:r>
              <w:rPr>
                <w:rFonts w:ascii="Times New Roman" w:hAnsi="Times New Roman"/>
                <w:sz w:val="18"/>
                <w:szCs w:val="18"/>
              </w:rPr>
              <w:t xml:space="preserve"> </w:t>
            </w:r>
            <w:r>
              <w:rPr>
                <w:rFonts w:ascii="Times New Roman" w:hAnsi="Times New Roman"/>
                <w:i w:val="false"/>
                <w:iCs w:val="false"/>
                <w:sz w:val="18"/>
                <w:szCs w:val="18"/>
              </w:rPr>
              <w:t>Journal of Policy and Governance Inquiry (JPGI)</w:t>
            </w:r>
            <w:r>
              <w:rPr>
                <w:rFonts w:ascii="Times New Roman" w:hAnsi="Times New Roman"/>
                <w:sz w:val="18"/>
                <w:szCs w:val="18"/>
              </w:rPr>
              <w:t xml:space="preserve">. </w:t>
            </w:r>
            <w:r>
              <w:rPr>
                <w:rFonts w:ascii="Times New Roman" w:hAnsi="Times New Roman"/>
                <w:i/>
                <w:iCs/>
                <w:sz w:val="18"/>
                <w:szCs w:val="18"/>
              </w:rPr>
              <w:t>For complete step-by-step instructions, ethics policies, and manuscript preparation guidelines, please visit:</w:t>
            </w:r>
          </w:p>
          <w:p>
            <w:pPr>
              <w:pStyle w:val="BodyText"/>
              <w:widowControl w:val="false"/>
              <w:spacing w:before="0" w:after="0"/>
              <w:jc w:val="center"/>
              <w:rPr/>
            </w:pPr>
            <w:hyperlink r:id="rId2">
              <w:r>
                <w:rPr>
                  <w:rStyle w:val="Hyperlink"/>
                  <w:rFonts w:ascii="Times New Roman" w:hAnsi="Times New Roman"/>
                  <w:b/>
                  <w:sz w:val="18"/>
                  <w:szCs w:val="18"/>
                </w:rPr>
                <w:t>https://journals.castpubs.com/jpgi/author-guidelines</w:t>
              </w:r>
            </w:hyperlink>
          </w:p>
        </w:tc>
      </w:tr>
    </w:tbl>
    <w:p>
      <w:pPr>
        <w:pStyle w:val="BodyText"/>
        <w:spacing w:lineRule="auto" w:line="240" w:before="0" w:after="0"/>
        <w:jc w:val="start"/>
        <w:rPr>
          <w:rFonts w:ascii="Times New Roman" w:hAnsi="Times New Roman"/>
          <w:b/>
          <w:color w:val="000000"/>
          <w:sz w:val="18"/>
          <w:szCs w:val="18"/>
        </w:rPr>
      </w:pPr>
      <w:r>
        <w:rPr>
          <w:rFonts w:ascii="Times New Roman" w:hAnsi="Times New Roman"/>
          <w:b/>
          <w:color w:val="000000"/>
          <w:sz w:val="18"/>
          <w:szCs w:val="18"/>
        </w:rPr>
      </w:r>
    </w:p>
    <w:p>
      <w:pPr>
        <w:pStyle w:val="Normal"/>
        <w:spacing w:lineRule="auto" w:line="240" w:before="0" w:after="0"/>
        <w:jc w:val="start"/>
        <w:rPr>
          <w:rFonts w:ascii="Times New Roman" w:hAnsi="Times New Roman"/>
          <w:color w:val="000000"/>
        </w:rPr>
      </w:pPr>
      <w:r>
        <w:rPr>
          <w:rFonts w:ascii="Times New Roman" w:hAnsi="Times New Roman"/>
          <w:b/>
          <w:color w:val="000000"/>
          <w:sz w:val="28"/>
        </w:rPr>
        <w:t>Policy Adaptation and Institutional Resilience in Public Sector Governance: A Comparative Study of Urban Municipalities</w:t>
      </w:r>
    </w:p>
    <w:p>
      <w:pPr>
        <w:pStyle w:val="Normal"/>
        <w:spacing w:lineRule="auto" w:line="240" w:before="0" w:after="0"/>
        <w:rPr>
          <w:rFonts w:ascii="Times New Roman" w:hAnsi="Times New Roman"/>
          <w:b w:val="false"/>
          <w:bCs w:val="false"/>
          <w:color w:val="000000"/>
          <w:sz w:val="20"/>
        </w:rPr>
      </w:pPr>
      <w:r>
        <w:rPr>
          <w:rFonts w:ascii="Times New Roman" w:hAnsi="Times New Roman"/>
          <w:b w:val="false"/>
          <w:bCs w:val="false"/>
          <w:color w:val="000000"/>
          <w:sz w:val="20"/>
        </w:rPr>
      </w:r>
    </w:p>
    <w:p>
      <w:pPr>
        <w:pStyle w:val="Normal"/>
        <w:spacing w:lineRule="auto" w:line="240" w:before="0" w:after="0"/>
        <w:rPr>
          <w:rFonts w:ascii="Times New Roman" w:hAnsi="Times New Roman"/>
          <w:b w:val="false"/>
          <w:bCs w:val="false"/>
          <w:color w:val="000000"/>
        </w:rPr>
      </w:pPr>
      <w:r>
        <w:rPr>
          <w:rFonts w:ascii="Times New Roman" w:hAnsi="Times New Roman"/>
          <w:b w:val="false"/>
          <w:bCs w:val="false"/>
          <w:color w:val="000000"/>
          <w:sz w:val="20"/>
        </w:rPr>
        <w:t>Md Shah Alom</w:t>
      </w:r>
      <w:r>
        <w:rPr>
          <w:rFonts w:ascii="Times New Roman" w:hAnsi="Times New Roman"/>
          <w:b w:val="false"/>
          <w:bCs w:val="false"/>
          <w:color w:val="000000"/>
          <w:sz w:val="20"/>
          <w:vertAlign w:val="superscript"/>
        </w:rPr>
        <w:t>1</w:t>
      </w:r>
      <w:r>
        <w:rPr>
          <w:rFonts w:ascii="Times New Roman" w:hAnsi="Times New Roman"/>
          <w:b w:val="false"/>
          <w:bCs w:val="false"/>
          <w:color w:val="000000"/>
          <w:sz w:val="20"/>
        </w:rPr>
        <w:t>, Farzana Islam Khan</w:t>
      </w:r>
      <w:r>
        <w:rPr>
          <w:rFonts w:ascii="Times New Roman" w:hAnsi="Times New Roman"/>
          <w:b w:val="false"/>
          <w:bCs w:val="false"/>
          <w:color w:val="000000"/>
          <w:sz w:val="20"/>
          <w:vertAlign w:val="superscript"/>
        </w:rPr>
        <w:t>2*</w:t>
      </w:r>
      <w:r>
        <w:rPr>
          <w:rFonts w:ascii="Times New Roman" w:hAnsi="Times New Roman"/>
          <w:b w:val="false"/>
          <w:bCs w:val="false"/>
          <w:color w:val="000000"/>
          <w:sz w:val="20"/>
        </w:rPr>
        <w:t>, Trisita Saha Biswas</w:t>
      </w:r>
      <w:r>
        <w:rPr>
          <w:rFonts w:ascii="Times New Roman" w:hAnsi="Times New Roman"/>
          <w:b w:val="false"/>
          <w:bCs w:val="false"/>
          <w:color w:val="000000"/>
          <w:sz w:val="20"/>
          <w:vertAlign w:val="superscript"/>
        </w:rPr>
        <w:t>3</w:t>
      </w:r>
    </w:p>
    <w:p>
      <w:pPr>
        <w:pStyle w:val="Normal"/>
        <w:spacing w:lineRule="auto" w:line="240" w:before="0" w:after="0"/>
        <w:rPr>
          <w:rFonts w:ascii="Times New Roman" w:hAnsi="Times New Roman"/>
          <w:b w:val="false"/>
          <w:bCs w:val="false"/>
          <w:color w:val="000000"/>
          <w:sz w:val="20"/>
        </w:rPr>
      </w:pPr>
      <w:r>
        <w:rPr>
          <w:rFonts w:ascii="Times New Roman" w:hAnsi="Times New Roman"/>
          <w:b w:val="false"/>
          <w:bCs w:val="false"/>
          <w:color w:val="000000"/>
          <w:sz w:val="20"/>
        </w:rPr>
      </w:r>
    </w:p>
    <w:p>
      <w:pPr>
        <w:pStyle w:val="Normal"/>
        <w:spacing w:lineRule="auto" w:line="240" w:before="0" w:after="0"/>
        <w:jc w:val="start"/>
        <w:rPr>
          <w:rFonts w:ascii="Times New Roman" w:hAnsi="Times New Roman"/>
          <w:color w:val="000000"/>
        </w:rPr>
      </w:pPr>
      <w:r>
        <w:rPr>
          <w:rFonts w:ascii="Times New Roman" w:hAnsi="Times New Roman"/>
          <w:b/>
          <w:color w:val="000000"/>
          <w:sz w:val="18"/>
        </w:rPr>
        <w:t>ABSTRACT</w:t>
        <w:br/>
        <w:t xml:space="preserve">Introduction: </w:t>
      </w:r>
      <w:r>
        <w:rPr>
          <w:rFonts w:ascii="Times New Roman" w:hAnsi="Times New Roman"/>
          <w:b w:val="false"/>
          <w:color w:val="000000"/>
          <w:sz w:val="18"/>
        </w:rPr>
        <w:t xml:space="preserve">Effective policy evaluation in decentralizing administrative frameworks requires systematic institutional assessment across local government structures. </w:t>
      </w:r>
      <w:r>
        <w:rPr>
          <w:rFonts w:ascii="Times New Roman" w:hAnsi="Times New Roman"/>
          <w:b/>
          <w:color w:val="000000"/>
          <w:sz w:val="18"/>
        </w:rPr>
        <w:t xml:space="preserve">Objectives: </w:t>
      </w:r>
      <w:r>
        <w:rPr>
          <w:rFonts w:ascii="Times New Roman" w:hAnsi="Times New Roman"/>
          <w:b w:val="false"/>
          <w:color w:val="000000"/>
          <w:sz w:val="18"/>
        </w:rPr>
        <w:t xml:space="preserve">This study examines the structural barriers to policy implementation and evaluates administrative adaptation mechanisms across urban municipalities in South Asia. </w:t>
      </w:r>
      <w:r>
        <w:rPr>
          <w:rFonts w:ascii="Times New Roman" w:hAnsi="Times New Roman"/>
          <w:b/>
          <w:color w:val="000000"/>
          <w:sz w:val="18"/>
        </w:rPr>
        <w:t xml:space="preserve">Methods &amp; Materials: </w:t>
      </w:r>
      <w:r>
        <w:rPr>
          <w:rFonts w:ascii="Times New Roman" w:hAnsi="Times New Roman"/>
          <w:b w:val="false"/>
          <w:color w:val="000000"/>
          <w:sz w:val="18"/>
        </w:rPr>
        <w:t>A mixed-methods comparative policy analysis was conducted across 12 local municipal corporations over a 24-month period, utilizing primary key informant interviews (</w:t>
      </w:r>
      <w:r>
        <w:rPr>
          <w:rFonts w:ascii="Times New Roman" w:hAnsi="Times New Roman"/>
          <w:b w:val="false"/>
          <w:i/>
          <w:iCs/>
          <w:color w:val="000000"/>
          <w:sz w:val="18"/>
        </w:rPr>
        <w:t>n</w:t>
      </w:r>
      <w:r>
        <w:rPr>
          <w:rFonts w:ascii="Times New Roman" w:hAnsi="Times New Roman"/>
          <w:b w:val="false"/>
          <w:color w:val="000000"/>
          <w:sz w:val="18"/>
        </w:rPr>
        <w:t xml:space="preserve">=45) and quantitative service delivery indices. </w:t>
      </w:r>
      <w:r>
        <w:rPr>
          <w:rFonts w:ascii="Times New Roman" w:hAnsi="Times New Roman"/>
          <w:b/>
          <w:color w:val="000000"/>
          <w:sz w:val="18"/>
        </w:rPr>
        <w:t xml:space="preserve">Results: </w:t>
      </w:r>
      <w:r>
        <w:rPr>
          <w:rFonts w:ascii="Times New Roman" w:hAnsi="Times New Roman"/>
          <w:b w:val="false"/>
          <w:color w:val="000000"/>
          <w:sz w:val="18"/>
        </w:rPr>
        <w:t xml:space="preserve">Empirical data indicates a 22% increase in policy responsiveness where digital governance tools were integrated with local participatory budgeting frameworks. </w:t>
      </w:r>
      <w:r>
        <w:rPr>
          <w:rFonts w:ascii="Times New Roman" w:hAnsi="Times New Roman"/>
          <w:b/>
          <w:color w:val="000000"/>
          <w:sz w:val="18"/>
        </w:rPr>
        <w:t xml:space="preserve">Conclusion: </w:t>
      </w:r>
      <w:r>
        <w:rPr>
          <w:rFonts w:ascii="Times New Roman" w:hAnsi="Times New Roman"/>
          <w:b w:val="false"/>
          <w:color w:val="000000"/>
          <w:sz w:val="18"/>
        </w:rPr>
        <w:t>Institutional capacity building and administrative decentralization remain critical determinants for long-term policy sustainability and civic trust.</w:t>
        <w:br/>
        <w:br/>
      </w:r>
      <w:r>
        <w:rPr>
          <w:rFonts w:ascii="Times New Roman" w:hAnsi="Times New Roman"/>
          <w:b/>
          <w:i/>
          <w:iCs/>
          <w:color w:val="000000"/>
          <w:sz w:val="18"/>
          <w:szCs w:val="18"/>
        </w:rPr>
        <w:t xml:space="preserve">Keywords: </w:t>
      </w:r>
      <w:r>
        <w:rPr>
          <w:rFonts w:ascii="Times New Roman" w:hAnsi="Times New Roman"/>
          <w:b w:val="false"/>
          <w:i/>
          <w:iCs/>
          <w:color w:val="000000"/>
          <w:sz w:val="18"/>
          <w:szCs w:val="18"/>
        </w:rPr>
        <w:t>Public Policy, Governance, Local Administration, Policy Evaluation, Institutional Design</w:t>
      </w:r>
    </w:p>
    <w:p>
      <w:pPr>
        <w:pStyle w:val="Normal"/>
        <w:spacing w:lineRule="auto" w:line="240" w:before="0" w:after="0"/>
        <w:jc w:val="start"/>
        <w:rPr>
          <w:rFonts w:ascii="Times New Roman" w:hAnsi="Times New Roman"/>
          <w:b w:val="false"/>
          <w:i/>
          <w:iCs/>
          <w:color w:val="000000"/>
          <w:sz w:val="18"/>
          <w:szCs w:val="18"/>
        </w:rPr>
      </w:pPr>
      <w:r>
        <w:rPr>
          <w:rFonts w:ascii="Times New Roman" w:hAnsi="Times New Roman"/>
          <w:b w:val="false"/>
          <w:i/>
          <w:iCs/>
          <w:color w:val="000000"/>
          <w:sz w:val="18"/>
          <w:szCs w:val="18"/>
        </w:rPr>
      </w:r>
    </w:p>
    <w:p>
      <w:pPr>
        <w:pStyle w:val="Normal"/>
        <w:numPr>
          <w:ilvl w:val="0"/>
          <w:numId w:val="7"/>
        </w:numPr>
        <w:spacing w:lineRule="auto" w:line="240" w:before="0" w:after="0"/>
        <w:rPr>
          <w:i w:val="false"/>
          <w:iCs w:val="false"/>
        </w:rPr>
      </w:pPr>
      <w:r>
        <w:rPr>
          <w:rFonts w:ascii="Times New Roman" w:hAnsi="Times New Roman"/>
          <w:i w:val="false"/>
          <w:iCs w:val="false"/>
          <w:color w:val="000000"/>
          <w:sz w:val="16"/>
        </w:rPr>
        <w:t>Associate Professor, Department of Public Administration, University of Dhaka, Dhaka, Bangladesh. Mobile: +8801700000001, Email: alom.pa@du.ac.bd (ORCID: 0000-0002-1825-0097)</w:t>
      </w:r>
    </w:p>
    <w:p>
      <w:pPr>
        <w:pStyle w:val="Normal"/>
        <w:numPr>
          <w:ilvl w:val="0"/>
          <w:numId w:val="7"/>
        </w:numPr>
        <w:spacing w:lineRule="auto" w:line="240" w:before="0" w:after="0"/>
        <w:rPr>
          <w:i w:val="false"/>
          <w:iCs w:val="false"/>
        </w:rPr>
      </w:pPr>
      <w:r>
        <w:rPr>
          <w:rFonts w:ascii="Times New Roman" w:hAnsi="Times New Roman"/>
          <w:i w:val="false"/>
          <w:iCs w:val="false"/>
          <w:color w:val="000000"/>
          <w:sz w:val="16"/>
        </w:rPr>
        <w:t>Senior Policy Analyst, Governance &amp; Development Institute, Dhaka, Bangladesh. Mobile: +8801800000002, Email: farzana.khan@gdi.org (ORCID: 0000-0001-9342-1120)</w:t>
      </w:r>
    </w:p>
    <w:p>
      <w:pPr>
        <w:pStyle w:val="Normal"/>
        <w:numPr>
          <w:ilvl w:val="0"/>
          <w:numId w:val="7"/>
        </w:numPr>
        <w:spacing w:lineRule="auto" w:line="240" w:before="0" w:after="0"/>
        <w:rPr>
          <w:i w:val="false"/>
          <w:iCs w:val="false"/>
        </w:rPr>
      </w:pPr>
      <w:r>
        <w:rPr>
          <w:rFonts w:ascii="Times New Roman" w:hAnsi="Times New Roman"/>
          <w:i w:val="false"/>
          <w:iCs w:val="false"/>
          <w:color w:val="000000"/>
          <w:sz w:val="16"/>
        </w:rPr>
        <w:t>Research Fellow, Center for Urban Policy Research, Chittagong, Bangladesh. Mobile: +8801900000003, Email: trisita.biswas@cupr.org (ORCID: 0000-0003-4100-8899)</w:t>
      </w:r>
    </w:p>
    <w:p>
      <w:pPr>
        <w:pStyle w:val="Normal"/>
        <w:spacing w:lineRule="auto" w:line="240" w:before="0" w:after="0"/>
        <w:rPr>
          <w:rFonts w:ascii="Times New Roman" w:hAnsi="Times New Roman"/>
          <w:b/>
          <w:i w:val="false"/>
          <w:iCs w:val="false"/>
          <w:color w:val="000000"/>
          <w:sz w:val="18"/>
        </w:rPr>
      </w:pPr>
      <w:r>
        <w:rPr>
          <w:rFonts w:ascii="Times New Roman" w:hAnsi="Times New Roman"/>
          <w:b/>
          <w:i w:val="false"/>
          <w:iCs w:val="false"/>
          <w:color w:val="000000"/>
          <w:sz w:val="18"/>
        </w:rPr>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t>INTRODUCTION</w:t>
      </w:r>
    </w:p>
    <w:p>
      <w:pPr>
        <w:pStyle w:val="Normal"/>
        <w:spacing w:lineRule="auto" w:line="240" w:before="0" w:after="0"/>
        <w:rPr>
          <w:rFonts w:ascii="Times New Roman" w:hAnsi="Times New Roman"/>
          <w:color w:val="000000"/>
        </w:rPr>
      </w:pPr>
      <w:r>
        <w:rPr>
          <w:rFonts w:ascii="Times New Roman" w:hAnsi="Times New Roman"/>
          <w:color w:val="000000"/>
          <w:sz w:val="18"/>
        </w:rPr>
        <w:t xml:space="preserve">Public administration frameworks across modern developing economies have undergone profound structural transformations over the past two decades. As urban populations expand rapidly, local municipal administrations face complex multi-dimensional challenges ranging from infrastructure deficit to resource allocation constraints and public accountability expectations </w:t>
      </w:r>
      <w:r>
        <w:rPr>
          <w:rFonts w:ascii="Times New Roman" w:hAnsi="Times New Roman"/>
          <w:color w:val="000000"/>
          <w:sz w:val="18"/>
          <w:vertAlign w:val="superscript"/>
        </w:rPr>
        <w:t>[1]</w:t>
      </w:r>
      <w:r>
        <w:rPr>
          <w:rFonts w:ascii="Times New Roman" w:hAnsi="Times New Roman"/>
          <w:color w:val="000000"/>
          <w:sz w:val="18"/>
        </w:rPr>
        <w:t>.</w:t>
      </w:r>
    </w:p>
    <w:p>
      <w:pPr>
        <w:pStyle w:val="Normal"/>
        <w:spacing w:lineRule="auto" w:line="240" w:before="0" w:after="0"/>
        <w:rPr>
          <w:rFonts w:ascii="Times New Roman" w:hAnsi="Times New Roman"/>
          <w:color w:val="000000"/>
          <w:sz w:val="18"/>
        </w:rPr>
      </w:pPr>
      <w:r>
        <w:rPr>
          <w:rFonts w:ascii="Times New Roman" w:hAnsi="Times New Roman"/>
          <w:color w:val="000000"/>
          <w:sz w:val="18"/>
        </w:rPr>
      </w:r>
    </w:p>
    <w:p>
      <w:pPr>
        <w:pStyle w:val="Normal"/>
        <w:spacing w:lineRule="auto" w:line="240" w:before="0" w:after="0"/>
        <w:rPr>
          <w:rFonts w:ascii="Times New Roman" w:hAnsi="Times New Roman"/>
          <w:color w:val="000000"/>
        </w:rPr>
      </w:pPr>
      <w:r>
        <w:rPr>
          <w:rFonts w:ascii="Times New Roman" w:hAnsi="Times New Roman"/>
          <w:color w:val="000000"/>
          <w:sz w:val="18"/>
        </w:rPr>
        <w:t xml:space="preserve">Institutional resilience—defined as the collective capacity of administrative bodies to adapt, absorb shocks, and sustain service delivery amid institutional disruptions—has emerged as a foundational requirement for sustainable local governance </w:t>
      </w:r>
      <w:r>
        <w:rPr>
          <w:rFonts w:ascii="Times New Roman" w:hAnsi="Times New Roman"/>
          <w:color w:val="000000"/>
          <w:sz w:val="18"/>
          <w:vertAlign w:val="superscript"/>
        </w:rPr>
        <w:t>[2]</w:t>
      </w:r>
      <w:r>
        <w:rPr>
          <w:rFonts w:ascii="Times New Roman" w:hAnsi="Times New Roman"/>
          <w:color w:val="000000"/>
          <w:sz w:val="18"/>
        </w:rPr>
        <w:t xml:space="preserve">. Contemporary policy inquiries increasingly emphasize that policy design alone is insufficient; administrative execution and institutional flexibility determine long-term governance outcomes </w:t>
      </w:r>
      <w:r>
        <w:rPr>
          <w:rFonts w:ascii="Times New Roman" w:hAnsi="Times New Roman"/>
          <w:color w:val="000000"/>
          <w:sz w:val="18"/>
          <w:vertAlign w:val="superscript"/>
        </w:rPr>
        <w:t>[1,2,3]</w:t>
      </w:r>
      <w:r>
        <w:rPr>
          <w:rFonts w:ascii="Times New Roman" w:hAnsi="Times New Roman"/>
          <w:color w:val="000000"/>
          <w:sz w:val="18"/>
        </w:rPr>
        <w:t>.</w:t>
      </w:r>
    </w:p>
    <w:p>
      <w:pPr>
        <w:pStyle w:val="Normal"/>
        <w:spacing w:lineRule="auto" w:line="240" w:before="0" w:after="0"/>
        <w:rPr>
          <w:rFonts w:ascii="Times New Roman" w:hAnsi="Times New Roman"/>
          <w:color w:val="000000"/>
          <w:sz w:val="18"/>
        </w:rPr>
      </w:pPr>
      <w:r>
        <w:rPr>
          <w:rFonts w:ascii="Times New Roman" w:hAnsi="Times New Roman"/>
          <w:color w:val="000000"/>
          <w:sz w:val="18"/>
        </w:rPr>
      </w:r>
    </w:p>
    <w:p>
      <w:pPr>
        <w:pStyle w:val="Normal"/>
        <w:spacing w:lineRule="auto" w:line="240" w:before="0" w:after="0"/>
        <w:rPr>
          <w:rFonts w:ascii="Times New Roman" w:hAnsi="Times New Roman"/>
          <w:color w:val="000000"/>
        </w:rPr>
      </w:pPr>
      <w:r>
        <w:rPr>
          <w:rFonts w:ascii="Times New Roman" w:hAnsi="Times New Roman"/>
          <w:b/>
          <w:color w:val="000000"/>
          <w:sz w:val="18"/>
        </w:rPr>
        <w:t>OBJECTIVES</w:t>
      </w:r>
    </w:p>
    <w:p>
      <w:pPr>
        <w:pStyle w:val="Normal"/>
        <w:spacing w:lineRule="auto" w:line="240" w:before="0" w:after="120"/>
        <w:rPr>
          <w:rFonts w:ascii="Times New Roman" w:hAnsi="Times New Roman"/>
          <w:color w:val="000000"/>
        </w:rPr>
      </w:pPr>
      <w:r>
        <w:rPr>
          <w:rFonts w:ascii="Times New Roman" w:hAnsi="Times New Roman"/>
          <w:color w:val="000000"/>
          <w:sz w:val="18"/>
        </w:rPr>
        <w:t>The primary objectives of this investigation are:</w:t>
      </w:r>
    </w:p>
    <w:p>
      <w:pPr>
        <w:pStyle w:val="Normal"/>
        <w:numPr>
          <w:ilvl w:val="0"/>
          <w:numId w:val="8"/>
        </w:numPr>
        <w:spacing w:lineRule="auto" w:line="240" w:before="0" w:after="0"/>
        <w:rPr>
          <w:rFonts w:ascii="Times New Roman" w:hAnsi="Times New Roman"/>
          <w:color w:val="000000"/>
        </w:rPr>
      </w:pPr>
      <w:r>
        <w:rPr>
          <w:rFonts w:ascii="Times New Roman" w:hAnsi="Times New Roman"/>
          <w:color w:val="000000"/>
          <w:sz w:val="18"/>
        </w:rPr>
        <w:t>To analyze the structural factors influencing policy implementation efficiency across selected urban municipal bodies.</w:t>
      </w:r>
    </w:p>
    <w:p>
      <w:pPr>
        <w:pStyle w:val="Normal"/>
        <w:numPr>
          <w:ilvl w:val="0"/>
          <w:numId w:val="8"/>
        </w:numPr>
        <w:spacing w:lineRule="auto" w:line="240" w:before="0" w:after="0"/>
        <w:rPr>
          <w:rFonts w:ascii="Times New Roman" w:hAnsi="Times New Roman"/>
          <w:color w:val="000000"/>
        </w:rPr>
      </w:pPr>
      <w:r>
        <w:rPr>
          <w:rFonts w:ascii="Times New Roman" w:hAnsi="Times New Roman"/>
          <w:color w:val="000000"/>
          <w:sz w:val="18"/>
        </w:rPr>
        <w:t>To evaluate the empirical impact of digital governance integration on administrative transparency and citizen satisfaction metrics.</w:t>
      </w:r>
    </w:p>
    <w:p>
      <w:pPr>
        <w:pStyle w:val="Normal"/>
        <w:numPr>
          <w:ilvl w:val="0"/>
          <w:numId w:val="8"/>
        </w:numPr>
        <w:spacing w:lineRule="auto" w:line="240" w:before="0" w:after="0"/>
        <w:rPr>
          <w:rFonts w:ascii="Times New Roman" w:hAnsi="Times New Roman"/>
          <w:color w:val="000000"/>
        </w:rPr>
      </w:pPr>
      <w:r>
        <w:rPr>
          <w:rFonts w:ascii="Times New Roman" w:hAnsi="Times New Roman"/>
          <w:color w:val="000000"/>
          <w:sz w:val="18"/>
        </w:rPr>
        <w:t>To formulate an institutional resilience framework tailored for decentralizing administrative contexts.</w:t>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t>METHODS &amp; MATERIALS</w:t>
      </w:r>
    </w:p>
    <w:p>
      <w:pPr>
        <w:pStyle w:val="Normal"/>
        <w:spacing w:lineRule="auto" w:line="240" w:before="0" w:after="0"/>
        <w:rPr>
          <w:rFonts w:ascii="Times New Roman" w:hAnsi="Times New Roman"/>
          <w:color w:val="000000"/>
        </w:rPr>
      </w:pPr>
      <w:r>
        <w:rPr>
          <w:rFonts w:ascii="Times New Roman" w:hAnsi="Times New Roman"/>
          <w:color w:val="000000"/>
          <w:sz w:val="18"/>
        </w:rPr>
        <w:t xml:space="preserve">This study employed a mixed-methods comparative policy evaluation design conducted across 12 municipal corporations in South Asia between January 2024 and December 2025. Primary data collection involved structured Key Informant Interviews (KIIs, </w:t>
      </w:r>
      <w:r>
        <w:rPr>
          <w:rFonts w:ascii="Times New Roman" w:hAnsi="Times New Roman"/>
          <w:i/>
          <w:iCs/>
          <w:color w:val="000000"/>
          <w:sz w:val="18"/>
        </w:rPr>
        <w:t>n</w:t>
      </w:r>
      <w:r>
        <w:rPr>
          <w:rFonts w:ascii="Times New Roman" w:hAnsi="Times New Roman"/>
          <w:color w:val="000000"/>
          <w:sz w:val="18"/>
        </w:rPr>
        <w:t>=45) conducted with senior public sector managers, municipal engineers, and civic council leaders.</w:t>
      </w:r>
    </w:p>
    <w:p>
      <w:pPr>
        <w:pStyle w:val="Normal"/>
        <w:spacing w:lineRule="auto" w:line="240" w:before="0" w:after="0"/>
        <w:rPr>
          <w:rFonts w:ascii="Times New Roman" w:hAnsi="Times New Roman"/>
          <w:color w:val="000000"/>
        </w:rPr>
      </w:pPr>
      <w:r>
        <w:rPr>
          <w:rFonts w:ascii="Times New Roman" w:hAnsi="Times New Roman"/>
          <w:color w:val="000000"/>
        </w:rPr>
      </w:r>
    </w:p>
    <w:p>
      <w:pPr>
        <w:pStyle w:val="Normal"/>
        <w:spacing w:lineRule="auto" w:line="240" w:before="0" w:after="0"/>
        <w:rPr>
          <w:rFonts w:ascii="Times New Roman" w:hAnsi="Times New Roman"/>
          <w:color w:val="000000"/>
          <w:sz w:val="18"/>
        </w:rPr>
      </w:pPr>
      <w:r>
        <w:rPr>
          <w:rFonts w:ascii="Times New Roman" w:hAnsi="Times New Roman"/>
          <w:color w:val="000000"/>
          <w:sz w:val="18"/>
        </w:rPr>
        <w:t>Quantitative administrative performance metrics were gathered from official municipal audit reports and municipal service portals. The Municipal Responsiveness Index (MRI) was constructed using four core dimensions: decision latency, budgetary compliance, public grievance resolution rate, and digital service utilization rate. Statistical analysis was performed using multivariate regression models to identify key determinants of policy execution efficacy.</w:t>
      </w:r>
    </w:p>
    <w:p>
      <w:pPr>
        <w:pStyle w:val="Normal"/>
        <w:spacing w:lineRule="auto" w:line="240" w:before="0" w:after="0"/>
        <w:rPr>
          <w:rFonts w:ascii="Times New Roman" w:hAnsi="Times New Roman"/>
          <w:color w:val="000000"/>
          <w:sz w:val="18"/>
        </w:rPr>
      </w:pPr>
      <w:r>
        <w:rPr>
          <w:rFonts w:ascii="Times New Roman" w:hAnsi="Times New Roman"/>
          <w:color w:val="000000"/>
          <w:sz w:val="18"/>
        </w:rPr>
      </w:r>
    </w:p>
    <w:p>
      <w:pPr>
        <w:pStyle w:val="Normal"/>
        <w:spacing w:lineRule="auto" w:line="240" w:before="0" w:after="0"/>
        <w:rPr>
          <w:rFonts w:ascii="Times New Roman" w:hAnsi="Times New Roman"/>
          <w:color w:val="000000"/>
        </w:rPr>
      </w:pPr>
      <w:r>
        <w:rPr>
          <w:rFonts w:ascii="Times New Roman" w:hAnsi="Times New Roman"/>
          <w:b/>
          <w:color w:val="000000"/>
          <w:sz w:val="18"/>
        </w:rPr>
        <w:t>RESULTS</w:t>
      </w:r>
    </w:p>
    <w:p>
      <w:pPr>
        <w:pStyle w:val="Normal"/>
        <w:spacing w:lineRule="auto" w:line="240" w:before="0" w:after="0"/>
        <w:rPr>
          <w:rFonts w:ascii="Times New Roman" w:hAnsi="Times New Roman"/>
          <w:color w:val="000000"/>
        </w:rPr>
      </w:pPr>
      <w:r>
        <w:rPr>
          <w:rFonts w:ascii="Times New Roman" w:hAnsi="Times New Roman"/>
          <w:color w:val="000000"/>
          <w:sz w:val="18"/>
        </w:rPr>
        <w:t xml:space="preserve">The empirical findings reveal significant variance in policy execution efficiency based on institutional structure and digital infrastructure adoption. </w:t>
      </w:r>
      <w:r>
        <w:rPr>
          <w:rFonts w:ascii="Times New Roman" w:hAnsi="Times New Roman"/>
          <w:i/>
          <w:iCs/>
          <w:color w:val="000000"/>
          <w:sz w:val="18"/>
        </w:rPr>
        <w:t xml:space="preserve">Table I </w:t>
      </w:r>
      <w:r>
        <w:rPr>
          <w:rFonts w:ascii="Times New Roman" w:hAnsi="Times New Roman"/>
          <w:color w:val="000000"/>
          <w:sz w:val="18"/>
        </w:rPr>
        <w:t>presents the comparative performance indicators across the surveyed municipal divisions.</w:t>
      </w:r>
    </w:p>
    <w:p>
      <w:pPr>
        <w:pStyle w:val="Normal"/>
        <w:spacing w:lineRule="auto" w:line="240" w:before="0" w:after="0"/>
        <w:rPr>
          <w:rFonts w:ascii="Times New Roman" w:hAnsi="Times New Roman"/>
          <w:b/>
          <w:color w:val="000000"/>
          <w:sz w:val="17"/>
        </w:rPr>
      </w:pPr>
      <w:r>
        <w:rPr>
          <w:rFonts w:ascii="Times New Roman" w:hAnsi="Times New Roman"/>
          <w:b/>
          <w:color w:val="000000"/>
          <w:sz w:val="17"/>
        </w:rPr>
      </w:r>
    </w:p>
    <w:p>
      <w:pPr>
        <w:pStyle w:val="Normal"/>
        <w:spacing w:lineRule="auto" w:line="240" w:before="0" w:after="0"/>
        <w:rPr>
          <w:rFonts w:ascii="Times New Roman" w:hAnsi="Times New Roman"/>
          <w:b/>
          <w:color w:val="000000"/>
          <w:sz w:val="17"/>
        </w:rPr>
      </w:pPr>
      <w:r>
        <w:rPr>
          <w:rFonts w:ascii="Times New Roman" w:hAnsi="Times New Roman"/>
          <w:b/>
          <w:color w:val="000000"/>
          <w:sz w:val="17"/>
        </w:rPr>
        <w:t>Table I</w:t>
      </w:r>
    </w:p>
    <w:p>
      <w:pPr>
        <w:pStyle w:val="Normal"/>
        <w:spacing w:lineRule="auto" w:line="240" w:before="57" w:after="57"/>
        <w:rPr>
          <w:rFonts w:ascii="Times New Roman" w:hAnsi="Times New Roman"/>
          <w:b w:val="false"/>
          <w:bCs w:val="false"/>
          <w:color w:val="000000"/>
          <w:sz w:val="17"/>
        </w:rPr>
      </w:pPr>
      <w:r>
        <w:rPr>
          <w:rFonts w:ascii="Times New Roman" w:hAnsi="Times New Roman"/>
          <w:b w:val="false"/>
          <w:bCs w:val="false"/>
          <w:color w:val="000000"/>
          <w:sz w:val="17"/>
        </w:rPr>
        <w:t>Comparative Performance Metrics Across Selected Municipalities (2024–2025).</w:t>
      </w:r>
    </w:p>
    <w:p>
      <w:pPr>
        <w:pStyle w:val="Normal"/>
        <w:spacing w:lineRule="auto" w:line="240" w:before="57" w:after="57"/>
        <w:rPr>
          <w:rFonts w:ascii="Times New Roman" w:hAnsi="Times New Roman"/>
          <w:b w:val="false"/>
          <w:bCs w:val="false"/>
          <w:color w:val="000000"/>
          <w:sz w:val="17"/>
        </w:rPr>
      </w:pPr>
      <w:r>
        <w:rPr>
          <w:rFonts w:ascii="Times New Roman" w:hAnsi="Times New Roman"/>
          <w:b w:val="false"/>
          <w:bCs w:val="false"/>
          <w:color w:val="000000"/>
          <w:sz w:val="17"/>
        </w:rPr>
      </w:r>
    </w:p>
    <w:tbl>
      <w:tblPr>
        <w:tblW w:w="8999" w:type="dxa"/>
        <w:jc w:val="center"/>
        <w:tblInd w:w="0" w:type="dxa"/>
        <w:tblLayout w:type="fixed"/>
        <w:tblCellMar>
          <w:top w:w="120" w:type="dxa"/>
          <w:start w:w="150" w:type="dxa"/>
          <w:bottom w:w="120" w:type="dxa"/>
          <w:end w:w="150" w:type="dxa"/>
        </w:tblCellMar>
        <w:tblLook w:noHBand="0" w:noVBand="1" w:firstColumn="1" w:lastRow="0" w:lastColumn="0" w:firstRow="1" w:val="04a0"/>
      </w:tblPr>
      <w:tblGrid>
        <w:gridCol w:w="1978"/>
        <w:gridCol w:w="2342"/>
        <w:gridCol w:w="2340"/>
        <w:gridCol w:w="2339"/>
      </w:tblGrid>
      <w:tr>
        <w:trPr>
          <w:trHeight w:val="60" w:hRule="atLeast"/>
        </w:trPr>
        <w:tc>
          <w:tcPr>
            <w:tcW w:w="1978" w:type="dxa"/>
            <w:tcBorders/>
          </w:tcPr>
          <w:p>
            <w:pPr>
              <w:pStyle w:val="Normal"/>
              <w:spacing w:lineRule="auto" w:line="240" w:before="0" w:after="0"/>
              <w:jc w:val="center"/>
              <w:rPr>
                <w:rFonts w:ascii="Times New Roman" w:hAnsi="Times New Roman"/>
                <w:color w:val="000000"/>
              </w:rPr>
            </w:pPr>
            <w:r>
              <w:rPr>
                <w:rFonts w:ascii="Times New Roman" w:hAnsi="Times New Roman"/>
                <w:b/>
                <w:color w:val="000000"/>
                <w:sz w:val="17"/>
              </w:rPr>
              <w:t>Municipal Zone</w:t>
            </w:r>
          </w:p>
        </w:tc>
        <w:tc>
          <w:tcPr>
            <w:tcW w:w="2342" w:type="dxa"/>
            <w:tcBorders/>
          </w:tcPr>
          <w:p>
            <w:pPr>
              <w:pStyle w:val="Normal"/>
              <w:spacing w:lineRule="auto" w:line="240" w:before="0" w:after="0"/>
              <w:jc w:val="center"/>
              <w:rPr>
                <w:rFonts w:ascii="Times New Roman" w:hAnsi="Times New Roman"/>
                <w:color w:val="000000"/>
              </w:rPr>
            </w:pPr>
            <w:r>
              <w:rPr>
                <w:rFonts w:ascii="Times New Roman" w:hAnsi="Times New Roman"/>
                <w:b/>
                <w:color w:val="000000"/>
                <w:sz w:val="17"/>
              </w:rPr>
              <w:t>Budget Allocation (USD M)</w:t>
            </w:r>
          </w:p>
        </w:tc>
        <w:tc>
          <w:tcPr>
            <w:tcW w:w="2340" w:type="dxa"/>
            <w:tcBorders/>
          </w:tcPr>
          <w:p>
            <w:pPr>
              <w:pStyle w:val="Normal"/>
              <w:spacing w:lineRule="auto" w:line="240" w:before="0" w:after="0"/>
              <w:jc w:val="center"/>
              <w:rPr>
                <w:rFonts w:ascii="Times New Roman" w:hAnsi="Times New Roman"/>
                <w:color w:val="000000"/>
              </w:rPr>
            </w:pPr>
            <w:r>
              <w:rPr>
                <w:rFonts w:ascii="Times New Roman" w:hAnsi="Times New Roman"/>
                <w:b/>
                <w:color w:val="000000"/>
                <w:sz w:val="17"/>
              </w:rPr>
              <w:t>Grievance Resolution (%)</w:t>
            </w:r>
          </w:p>
        </w:tc>
        <w:tc>
          <w:tcPr>
            <w:tcW w:w="2339" w:type="dxa"/>
            <w:tcBorders/>
          </w:tcPr>
          <w:p>
            <w:pPr>
              <w:pStyle w:val="Normal"/>
              <w:spacing w:lineRule="auto" w:line="240" w:before="0" w:after="0"/>
              <w:jc w:val="center"/>
              <w:rPr>
                <w:rFonts w:ascii="Times New Roman" w:hAnsi="Times New Roman"/>
                <w:color w:val="000000"/>
              </w:rPr>
            </w:pPr>
            <w:r>
              <w:rPr>
                <w:rFonts w:ascii="Times New Roman" w:hAnsi="Times New Roman"/>
                <w:b/>
                <w:color w:val="000000"/>
                <w:sz w:val="17"/>
              </w:rPr>
              <w:t>MRI Score</w:t>
            </w:r>
          </w:p>
        </w:tc>
      </w:tr>
      <w:tr>
        <w:trPr>
          <w:trHeight w:val="75" w:hRule="atLeast"/>
        </w:trPr>
        <w:tc>
          <w:tcPr>
            <w:tcW w:w="1978" w:type="dxa"/>
            <w:tcBorders/>
            <w:tcMar>
              <w:top w:w="100" w:type="dxa"/>
              <w:bottom w:w="100" w:type="dxa"/>
            </w:tcMar>
          </w:tcPr>
          <w:p>
            <w:pPr>
              <w:pStyle w:val="Normal"/>
              <w:spacing w:lineRule="auto" w:line="240" w:before="0" w:after="0"/>
              <w:jc w:val="start"/>
              <w:rPr>
                <w:rFonts w:ascii="Times New Roman" w:hAnsi="Times New Roman"/>
                <w:color w:val="000000"/>
              </w:rPr>
            </w:pPr>
            <w:r>
              <w:rPr>
                <w:rFonts w:ascii="Times New Roman" w:hAnsi="Times New Roman"/>
                <w:color w:val="000000"/>
                <w:sz w:val="17"/>
              </w:rPr>
              <w:t>Zone A (North)</w:t>
            </w:r>
          </w:p>
        </w:tc>
        <w:tc>
          <w:tcPr>
            <w:tcW w:w="2342"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14.2</w:t>
            </w:r>
          </w:p>
        </w:tc>
        <w:tc>
          <w:tcPr>
            <w:tcW w:w="2340"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84.5%</w:t>
            </w:r>
          </w:p>
        </w:tc>
        <w:tc>
          <w:tcPr>
            <w:tcW w:w="2339"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7.8</w:t>
            </w:r>
          </w:p>
        </w:tc>
      </w:tr>
      <w:tr>
        <w:trPr/>
        <w:tc>
          <w:tcPr>
            <w:tcW w:w="1978" w:type="dxa"/>
            <w:tcBorders/>
            <w:tcMar>
              <w:top w:w="100" w:type="dxa"/>
              <w:bottom w:w="100" w:type="dxa"/>
            </w:tcMar>
          </w:tcPr>
          <w:p>
            <w:pPr>
              <w:pStyle w:val="Normal"/>
              <w:spacing w:lineRule="auto" w:line="240" w:before="0" w:after="0"/>
              <w:jc w:val="start"/>
              <w:rPr>
                <w:rFonts w:ascii="Times New Roman" w:hAnsi="Times New Roman"/>
                <w:color w:val="000000"/>
              </w:rPr>
            </w:pPr>
            <w:r>
              <w:rPr>
                <w:rFonts w:ascii="Times New Roman" w:hAnsi="Times New Roman"/>
                <w:color w:val="000000"/>
                <w:sz w:val="17"/>
              </w:rPr>
              <w:t>Zone B (Central)</w:t>
            </w:r>
          </w:p>
        </w:tc>
        <w:tc>
          <w:tcPr>
            <w:tcW w:w="2342"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22.8</w:t>
            </w:r>
          </w:p>
        </w:tc>
        <w:tc>
          <w:tcPr>
            <w:tcW w:w="2340"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91.2%</w:t>
            </w:r>
          </w:p>
        </w:tc>
        <w:tc>
          <w:tcPr>
            <w:tcW w:w="2339"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8.6</w:t>
            </w:r>
          </w:p>
        </w:tc>
      </w:tr>
      <w:tr>
        <w:trPr/>
        <w:tc>
          <w:tcPr>
            <w:tcW w:w="1978" w:type="dxa"/>
            <w:tcBorders/>
            <w:tcMar>
              <w:top w:w="100" w:type="dxa"/>
              <w:bottom w:w="100" w:type="dxa"/>
            </w:tcMar>
          </w:tcPr>
          <w:p>
            <w:pPr>
              <w:pStyle w:val="Normal"/>
              <w:spacing w:lineRule="auto" w:line="240" w:before="0" w:after="0"/>
              <w:jc w:val="start"/>
              <w:rPr>
                <w:rFonts w:ascii="Times New Roman" w:hAnsi="Times New Roman"/>
                <w:color w:val="000000"/>
              </w:rPr>
            </w:pPr>
            <w:r>
              <w:rPr>
                <w:rFonts w:ascii="Times New Roman" w:hAnsi="Times New Roman"/>
                <w:color w:val="000000"/>
                <w:sz w:val="17"/>
              </w:rPr>
              <w:t>Zone C (South)</w:t>
            </w:r>
          </w:p>
        </w:tc>
        <w:tc>
          <w:tcPr>
            <w:tcW w:w="2342"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11.5</w:t>
            </w:r>
          </w:p>
        </w:tc>
        <w:tc>
          <w:tcPr>
            <w:tcW w:w="2340"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68.2%</w:t>
            </w:r>
          </w:p>
        </w:tc>
        <w:tc>
          <w:tcPr>
            <w:tcW w:w="2339" w:type="dxa"/>
            <w:tcBorders/>
            <w:tcMar>
              <w:top w:w="100" w:type="dxa"/>
              <w:bottom w:w="100" w:type="dxa"/>
            </w:tcMar>
          </w:tcPr>
          <w:p>
            <w:pPr>
              <w:pStyle w:val="Normal"/>
              <w:spacing w:lineRule="auto" w:line="240" w:before="0" w:after="0"/>
              <w:jc w:val="center"/>
              <w:rPr>
                <w:rFonts w:ascii="Times New Roman" w:hAnsi="Times New Roman"/>
                <w:color w:val="000000"/>
              </w:rPr>
            </w:pPr>
            <w:r>
              <w:rPr>
                <w:rFonts w:ascii="Times New Roman" w:hAnsi="Times New Roman"/>
                <w:color w:val="000000"/>
                <w:sz w:val="17"/>
              </w:rPr>
              <w:t>5.9</w:t>
            </w:r>
          </w:p>
        </w:tc>
      </w:tr>
    </w:tbl>
    <w:p>
      <w:pPr>
        <w:pStyle w:val="Normal"/>
        <w:spacing w:lineRule="auto" w:line="240" w:before="0" w:after="0"/>
        <w:rPr>
          <w:rFonts w:ascii="Times New Roman" w:hAnsi="Times New Roman"/>
          <w:color w:val="000000"/>
          <w:sz w:val="18"/>
        </w:rPr>
      </w:pPr>
      <w:r>
        <w:rPr>
          <w:rFonts w:ascii="Times New Roman" w:hAnsi="Times New Roman"/>
          <w:color w:val="000000"/>
          <w:sz w:val="18"/>
        </w:rPr>
      </w:r>
    </w:p>
    <w:p>
      <w:pPr>
        <w:pStyle w:val="Normal"/>
        <w:spacing w:lineRule="auto" w:line="240" w:before="0" w:after="0"/>
        <w:rPr>
          <w:rFonts w:ascii="Times New Roman" w:hAnsi="Times New Roman"/>
          <w:color w:val="000000"/>
          <w:sz w:val="18"/>
        </w:rPr>
      </w:pPr>
      <w:r>
        <w:rPr>
          <w:rFonts w:ascii="Times New Roman" w:hAnsi="Times New Roman"/>
          <w:color w:val="000000"/>
          <w:sz w:val="18"/>
        </w:rPr>
        <w:t xml:space="preserve">As demonstrated in </w:t>
      </w:r>
      <w:r>
        <w:rPr>
          <w:rFonts w:ascii="Times New Roman" w:hAnsi="Times New Roman"/>
          <w:i/>
          <w:iCs/>
          <w:color w:val="000000"/>
          <w:sz w:val="18"/>
        </w:rPr>
        <w:t>Figure 1</w:t>
      </w:r>
      <w:r>
        <w:rPr>
          <w:rFonts w:ascii="Times New Roman" w:hAnsi="Times New Roman"/>
          <w:color w:val="000000"/>
          <w:sz w:val="18"/>
        </w:rPr>
        <w:t xml:space="preserve"> below, municipal entities utilizing automated grievance processing exhibited a 34% reduction in overall policy implementation delays compared to traditional bureaucratic channels </w:t>
      </w:r>
      <w:r>
        <w:rPr>
          <w:rFonts w:ascii="Times New Roman" w:hAnsi="Times New Roman"/>
          <w:color w:val="000000"/>
          <w:sz w:val="18"/>
          <w:vertAlign w:val="superscript"/>
        </w:rPr>
        <w:t>[4]</w:t>
      </w:r>
      <w:r>
        <w:rPr>
          <w:rFonts w:ascii="Times New Roman" w:hAnsi="Times New Roman"/>
          <w:color w:val="000000"/>
          <w:sz w:val="18"/>
        </w:rPr>
        <w:t>.</w:t>
      </w:r>
    </w:p>
    <w:p>
      <w:pPr>
        <w:pStyle w:val="Normal"/>
        <w:spacing w:lineRule="auto" w:line="240" w:before="0" w:after="0"/>
        <w:jc w:val="center"/>
        <w:rPr>
          <w:rFonts w:ascii="Times New Roman" w:hAnsi="Times New Roman"/>
          <w:b/>
          <w:i w:val="false"/>
          <w:iCs w:val="false"/>
          <w:color w:val="000000"/>
          <w:sz w:val="17"/>
        </w:rPr>
      </w:pPr>
      <w:r>
        <w:rPr>
          <w:rFonts w:ascii="Times New Roman" w:hAnsi="Times New Roman"/>
          <w:b/>
          <w:i w:val="false"/>
          <w:iCs w:val="false"/>
          <w:color w:val="000000"/>
          <w:sz w:val="17"/>
        </w:rPr>
      </w:r>
    </w:p>
    <w:p>
      <w:pPr>
        <w:pStyle w:val="Normal"/>
        <w:spacing w:lineRule="auto" w:line="240" w:before="0" w:after="0"/>
        <w:jc w:val="center"/>
        <w:rPr>
          <w:rFonts w:ascii="Times New Roman" w:hAnsi="Times New Roman"/>
          <w:b/>
          <w:i w:val="false"/>
          <w:iCs w:val="false"/>
          <w:color w:val="000000"/>
          <w:sz w:val="17"/>
        </w:rPr>
      </w:pPr>
      <w:r>
        <w:rPr>
          <w:rFonts w:ascii="Times New Roman" w:hAnsi="Times New Roman"/>
          <w:b/>
          <w:i w:val="false"/>
          <w:iCs w:val="false"/>
          <w:color w:val="000000"/>
          <w:sz w:val="17"/>
        </w:rPr>
        <w:t>Figure 1</w:t>
      </w:r>
    </w:p>
    <w:p>
      <w:pPr>
        <w:pStyle w:val="Normal"/>
        <w:spacing w:lineRule="auto" w:line="240" w:before="0" w:after="0"/>
        <w:jc w:val="center"/>
        <w:rPr>
          <w:rFonts w:ascii="Times New Roman" w:hAnsi="Times New Roman"/>
          <w:b w:val="false"/>
          <w:bCs w:val="false"/>
          <w:i w:val="false"/>
          <w:iCs w:val="false"/>
          <w:color w:val="000000"/>
          <w:sz w:val="17"/>
        </w:rPr>
      </w:pPr>
      <w:r>
        <w:rPr>
          <w:rFonts w:ascii="Times New Roman" w:hAnsi="Times New Roman"/>
          <w:b w:val="false"/>
          <w:bCs w:val="false"/>
          <w:i w:val="false"/>
          <w:iCs w:val="false"/>
          <w:color w:val="000000"/>
          <w:sz w:val="17"/>
        </w:rPr>
        <w:t>Relationship between Digital Tool Integration and Service Resolution Speed (2024).</w:t>
      </w:r>
    </w:p>
    <w:p>
      <w:pPr>
        <w:pStyle w:val="Normal"/>
        <w:spacing w:lineRule="auto" w:line="240" w:before="0" w:after="0"/>
        <w:jc w:val="start"/>
        <w:rPr>
          <w:rFonts w:ascii="Times New Roman" w:hAnsi="Times New Roman"/>
          <w:b w:val="false"/>
          <w:bCs w:val="false"/>
          <w:i w:val="false"/>
          <w:iCs w:val="false"/>
          <w:color w:val="000000"/>
          <w:sz w:val="17"/>
        </w:rPr>
      </w:pPr>
      <w:r>
        <w:rPr>
          <w:rFonts w:ascii="Times New Roman" w:hAnsi="Times New Roman"/>
          <w:b w:val="false"/>
          <w:bCs w:val="false"/>
          <w:i w:val="false"/>
          <w:iCs w:val="false"/>
          <w:color w:val="000000"/>
          <w:sz w:val="17"/>
        </w:rPr>
      </w:r>
    </w:p>
    <w:p>
      <w:pPr>
        <w:pStyle w:val="Normal"/>
        <w:spacing w:lineRule="auto" w:line="240" w:before="0" w:after="0"/>
        <w:rPr>
          <w:rFonts w:ascii="Times New Roman" w:hAnsi="Times New Roman"/>
          <w:color w:val="000000"/>
        </w:rPr>
      </w:pPr>
      <w:r>
        <w:rPr>
          <w:rFonts w:ascii="Times New Roman" w:hAnsi="Times New Roman"/>
          <w:b/>
          <w:color w:val="000000"/>
          <w:sz w:val="18"/>
        </w:rPr>
        <w:t>DISCUSSION</w:t>
      </w:r>
    </w:p>
    <w:p>
      <w:pPr>
        <w:pStyle w:val="Normal"/>
        <w:spacing w:lineRule="auto" w:line="240" w:before="0" w:after="0"/>
        <w:rPr>
          <w:rFonts w:ascii="Times New Roman" w:hAnsi="Times New Roman"/>
          <w:color w:val="000000"/>
        </w:rPr>
      </w:pPr>
      <w:r>
        <w:rPr>
          <w:rFonts w:ascii="Times New Roman" w:hAnsi="Times New Roman"/>
          <w:color w:val="000000"/>
          <w:sz w:val="18"/>
        </w:rPr>
        <w:t xml:space="preserve">The results underscore the critical role of adaptive public management frameworks in sustaining administrative resilience. Modern governance literature increasingly highlights that top-down policy directives frequently encounter operational bottlenecks unless supported by localized, technology-enabled feedback loops </w:t>
      </w:r>
      <w:r>
        <w:rPr>
          <w:rFonts w:ascii="Times New Roman" w:hAnsi="Times New Roman"/>
          <w:color w:val="000000"/>
          <w:sz w:val="18"/>
          <w:vertAlign w:val="superscript"/>
        </w:rPr>
        <w:t>[5]</w:t>
      </w:r>
      <w:r>
        <w:rPr>
          <w:rFonts w:ascii="Times New Roman" w:hAnsi="Times New Roman"/>
          <w:color w:val="000000"/>
          <w:sz w:val="18"/>
        </w:rPr>
        <w:t>.</w:t>
      </w:r>
    </w:p>
    <w:p>
      <w:pPr>
        <w:pStyle w:val="Normal"/>
        <w:spacing w:lineRule="auto" w:line="240" w:before="0" w:after="0"/>
        <w:rPr>
          <w:rFonts w:ascii="Times New Roman" w:hAnsi="Times New Roman"/>
          <w:color w:val="000000"/>
        </w:rPr>
      </w:pPr>
      <w:r>
        <w:rPr>
          <w:rFonts w:ascii="Times New Roman" w:hAnsi="Times New Roman"/>
          <w:color w:val="000000"/>
        </w:rPr>
      </w:r>
    </w:p>
    <w:p>
      <w:pPr>
        <w:pStyle w:val="Normal"/>
        <w:spacing w:lineRule="auto" w:line="240" w:before="0" w:after="0"/>
        <w:rPr>
          <w:rFonts w:ascii="Times New Roman" w:hAnsi="Times New Roman"/>
          <w:color w:val="000000"/>
        </w:rPr>
      </w:pPr>
      <w:r>
        <w:rPr>
          <w:rFonts w:ascii="Times New Roman" w:hAnsi="Times New Roman"/>
          <w:color w:val="000000"/>
          <w:sz w:val="18"/>
        </w:rPr>
        <w:t>Furthermore, institutional reform strategies must prioritize capacity building alongside structural decentralization. The observed performance differential between Central and South zones (</w:t>
      </w:r>
      <w:r>
        <w:rPr>
          <w:rFonts w:ascii="Times New Roman" w:hAnsi="Times New Roman"/>
          <w:i/>
          <w:iCs/>
          <w:color w:val="000000"/>
          <w:sz w:val="18"/>
        </w:rPr>
        <w:t>Table I</w:t>
      </w:r>
      <w:r>
        <w:rPr>
          <w:rFonts w:ascii="Times New Roman" w:hAnsi="Times New Roman"/>
          <w:color w:val="000000"/>
          <w:sz w:val="18"/>
        </w:rPr>
        <w:t xml:space="preserve">) highlights that financial capital alone cannot substitute for administrative capability and clear institutional leadership </w:t>
      </w:r>
      <w:r>
        <w:rPr>
          <w:rFonts w:ascii="Times New Roman" w:hAnsi="Times New Roman"/>
          <w:color w:val="000000"/>
          <w:sz w:val="18"/>
          <w:vertAlign w:val="superscript"/>
        </w:rPr>
        <w:t>[6]</w:t>
      </w:r>
      <w:r>
        <w:rPr>
          <w:rFonts w:ascii="Times New Roman" w:hAnsi="Times New Roman"/>
          <w:color w:val="000000"/>
          <w:sz w:val="18"/>
        </w:rPr>
        <w:t>.</w:t>
      </w:r>
    </w:p>
    <w:p>
      <w:pPr>
        <w:pStyle w:val="Normal"/>
        <w:spacing w:lineRule="auto" w:line="240" w:before="0" w:after="0"/>
        <w:rPr>
          <w:rFonts w:ascii="Times New Roman" w:hAnsi="Times New Roman"/>
          <w:color w:val="000000"/>
          <w:sz w:val="18"/>
        </w:rPr>
      </w:pPr>
      <w:r>
        <w:rPr>
          <w:rFonts w:ascii="Times New Roman" w:hAnsi="Times New Roman"/>
          <w:color w:val="000000"/>
          <w:sz w:val="18"/>
        </w:rPr>
      </w:r>
    </w:p>
    <w:p>
      <w:pPr>
        <w:pStyle w:val="Normal"/>
        <w:spacing w:lineRule="auto" w:line="240" w:before="0" w:after="0"/>
        <w:rPr>
          <w:rFonts w:ascii="Times New Roman" w:hAnsi="Times New Roman"/>
          <w:color w:val="000000"/>
        </w:rPr>
      </w:pPr>
      <w:r>
        <w:rPr>
          <w:rFonts w:ascii="Times New Roman" w:hAnsi="Times New Roman"/>
          <w:b/>
          <w:color w:val="000000"/>
          <w:sz w:val="18"/>
        </w:rPr>
        <w:t>CONCLUSION</w:t>
      </w:r>
    </w:p>
    <w:p>
      <w:pPr>
        <w:pStyle w:val="Normal"/>
        <w:spacing w:lineRule="auto" w:line="240" w:before="0" w:after="0"/>
        <w:rPr>
          <w:rFonts w:ascii="Times New Roman" w:hAnsi="Times New Roman"/>
          <w:color w:val="000000"/>
        </w:rPr>
      </w:pPr>
      <w:r>
        <w:rPr>
          <w:rFonts w:ascii="Times New Roman" w:hAnsi="Times New Roman"/>
          <w:color w:val="000000"/>
          <w:sz w:val="18"/>
        </w:rPr>
        <w:t>This study confirms that policy adaptation and institutional resilience are fundamentally driven by decentralized administrative authority, integrated digital monitoring tools, and proactive civic engagement. Public administration reform agendas should align structural governance frameworks with digital capacity building to foster resilient municipal institutions.</w:t>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t>ACKNOWLEDGMENT</w:t>
      </w:r>
    </w:p>
    <w:p>
      <w:pPr>
        <w:pStyle w:val="Normal"/>
        <w:spacing w:lineRule="auto" w:line="240" w:before="0" w:after="0"/>
        <w:rPr>
          <w:rFonts w:ascii="Times New Roman" w:hAnsi="Times New Roman"/>
          <w:color w:val="000000"/>
        </w:rPr>
      </w:pPr>
      <w:r>
        <w:rPr>
          <w:rFonts w:ascii="Times New Roman" w:hAnsi="Times New Roman"/>
          <w:color w:val="000000"/>
          <w:sz w:val="18"/>
        </w:rPr>
        <w:t>The authors express their gratitude to the local government officers and municipal administration personnel who provided access to data and participated in the key informant interviews.</w:t>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t>CONFLICT OF INTEREST</w:t>
      </w:r>
    </w:p>
    <w:p>
      <w:pPr>
        <w:pStyle w:val="Normal"/>
        <w:spacing w:lineRule="auto" w:line="240" w:before="0" w:after="0"/>
        <w:rPr>
          <w:rFonts w:ascii="Times New Roman" w:hAnsi="Times New Roman"/>
          <w:color w:val="000000"/>
        </w:rPr>
      </w:pPr>
      <w:r>
        <w:rPr>
          <w:rFonts w:ascii="Times New Roman" w:hAnsi="Times New Roman"/>
          <w:color w:val="000000"/>
          <w:sz w:val="18"/>
        </w:rPr>
        <w:t>The authors declare that there are no financial or personal conflicts of interest related to the publication of this manuscript.</w:t>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r>
    </w:p>
    <w:p>
      <w:pPr>
        <w:pStyle w:val="Normal"/>
        <w:spacing w:lineRule="auto" w:line="240" w:before="0" w:after="0"/>
        <w:rPr>
          <w:rFonts w:ascii="Times New Roman" w:hAnsi="Times New Roman"/>
          <w:b/>
          <w:color w:val="000000"/>
          <w:sz w:val="18"/>
        </w:rPr>
      </w:pPr>
      <w:r>
        <w:rPr>
          <w:rFonts w:ascii="Times New Roman" w:hAnsi="Times New Roman"/>
          <w:b/>
          <w:color w:val="000000"/>
          <w:sz w:val="18"/>
        </w:rPr>
        <w:t>REFERENCES</w:t>
      </w:r>
    </w:p>
    <w:p>
      <w:pPr>
        <w:pStyle w:val="Normal"/>
        <w:numPr>
          <w:ilvl w:val="0"/>
          <w:numId w:val="9"/>
        </w:numPr>
        <w:spacing w:lineRule="auto" w:line="240" w:before="0" w:after="0"/>
        <w:rPr>
          <w:rFonts w:ascii="Times New Roman" w:hAnsi="Times New Roman"/>
          <w:color w:val="000000"/>
        </w:rPr>
      </w:pPr>
      <w:r>
        <w:rPr>
          <w:rFonts w:ascii="Times New Roman" w:hAnsi="Times New Roman"/>
          <w:color w:val="000000"/>
          <w:sz w:val="16"/>
        </w:rPr>
        <w:t>Smith JK, Patel R. Public policy implementation in developing governance systems. J Policy Gov. 2024;12(2):45-58.</w:t>
      </w:r>
    </w:p>
    <w:p>
      <w:pPr>
        <w:pStyle w:val="Normal"/>
        <w:numPr>
          <w:ilvl w:val="0"/>
          <w:numId w:val="9"/>
        </w:numPr>
        <w:spacing w:lineRule="auto" w:line="240" w:before="0" w:after="0"/>
        <w:rPr>
          <w:rFonts w:ascii="Times New Roman" w:hAnsi="Times New Roman"/>
          <w:color w:val="000000"/>
        </w:rPr>
      </w:pPr>
      <w:r>
        <w:rPr>
          <w:rFonts w:ascii="Times New Roman" w:hAnsi="Times New Roman"/>
          <w:color w:val="000000"/>
          <w:sz w:val="16"/>
        </w:rPr>
        <w:t>World Bank. Governance and the Law: World Development Report. Washington, DC: World Bank Group; 2022.</w:t>
      </w:r>
    </w:p>
    <w:p>
      <w:pPr>
        <w:pStyle w:val="Normal"/>
        <w:numPr>
          <w:ilvl w:val="0"/>
          <w:numId w:val="9"/>
        </w:numPr>
        <w:spacing w:lineRule="auto" w:line="240" w:before="0" w:after="0"/>
        <w:rPr>
          <w:rFonts w:ascii="Times New Roman" w:hAnsi="Times New Roman"/>
          <w:color w:val="000000"/>
        </w:rPr>
      </w:pPr>
      <w:r>
        <w:rPr>
          <w:rFonts w:ascii="Times New Roman" w:hAnsi="Times New Roman"/>
          <w:color w:val="000000"/>
          <w:sz w:val="16"/>
        </w:rPr>
        <w:t>Alom MS, Khan FI. Institutional design and administrative capacity in local government. Asian J Public Adm. 2025;18(1):102-115.</w:t>
      </w:r>
    </w:p>
    <w:p>
      <w:pPr>
        <w:pStyle w:val="Normal"/>
        <w:numPr>
          <w:ilvl w:val="0"/>
          <w:numId w:val="9"/>
        </w:numPr>
        <w:spacing w:lineRule="auto" w:line="240" w:before="0" w:after="0"/>
        <w:rPr>
          <w:rFonts w:ascii="Times New Roman" w:hAnsi="Times New Roman"/>
          <w:color w:val="000000"/>
        </w:rPr>
      </w:pPr>
      <w:r>
        <w:rPr>
          <w:rFonts w:ascii="Times New Roman" w:hAnsi="Times New Roman"/>
          <w:color w:val="000000"/>
          <w:sz w:val="16"/>
        </w:rPr>
        <w:t>Roberts EA, Davis M. Digital governance and municipal service delivery: A comparative analysis. Governance. 2023;36(4):511-529.</w:t>
      </w:r>
    </w:p>
    <w:p>
      <w:pPr>
        <w:pStyle w:val="Normal"/>
        <w:numPr>
          <w:ilvl w:val="0"/>
          <w:numId w:val="9"/>
        </w:numPr>
        <w:spacing w:lineRule="auto" w:line="240" w:before="0" w:after="0"/>
        <w:rPr>
          <w:rFonts w:ascii="Times New Roman" w:hAnsi="Times New Roman"/>
          <w:color w:val="000000"/>
        </w:rPr>
      </w:pPr>
      <w:r>
        <w:rPr>
          <w:rFonts w:ascii="Times New Roman" w:hAnsi="Times New Roman"/>
          <w:color w:val="000000"/>
          <w:sz w:val="16"/>
        </w:rPr>
        <w:t>Chen L, Rahman M. Decentralization and institutional resilience in South Asian public administration. Int Rev Adm Sci. 2024;90(3):301-318.</w:t>
      </w:r>
    </w:p>
    <w:p>
      <w:pPr>
        <w:pStyle w:val="Normal"/>
        <w:numPr>
          <w:ilvl w:val="0"/>
          <w:numId w:val="9"/>
        </w:numPr>
        <w:spacing w:lineRule="auto" w:line="240" w:before="0" w:after="0"/>
        <w:rPr>
          <w:rFonts w:ascii="Times New Roman" w:hAnsi="Times New Roman"/>
          <w:color w:val="000000"/>
        </w:rPr>
      </w:pPr>
      <w:r>
        <w:rPr>
          <w:rFonts w:ascii="Times New Roman" w:hAnsi="Times New Roman"/>
          <w:color w:val="000000"/>
          <w:sz w:val="16"/>
        </w:rPr>
        <w:t>United Nations Development Programme. Local Governance Reform and Capacity Building Guidelines. New York: UNDP; 2023.</w:t>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mbria">
    <w:charset w:val="01" w:characterSet="utf-8"/>
    <w:family w:val="roman"/>
    <w:pitch w:val="variable"/>
  </w:font>
  <w:font w:name="Calibri">
    <w:charset w:val="01" w:characterSet="utf-8"/>
    <w:family w:val="roman"/>
    <w:pitch w:val="variable"/>
  </w:font>
  <w:font w:name="Courier">
    <w:altName w:val="Courier New"/>
    <w:charset w:val="01" w:characterSet="utf-8"/>
    <w:family w:val="roman"/>
    <w:pitch w:val="variable"/>
  </w:font>
  <w:font w:name="Liberation Sans">
    <w:altName w:val="Arial"/>
    <w:charset w:val="01" w:characterSet="utf-8"/>
    <w:family w:val="swiss"/>
    <w:pitch w:val="variable"/>
  </w:font>
  <w:font w:name="Times New Roman">
    <w:charset w:val="01"/>
    <w:family w:val="roman"/>
    <w:pitch w:val="default"/>
  </w:font>
  <w:font w:name="Times New Roman">
    <w:charset w:val="01" w:characterSet="utf-8"/>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decimal"/>
      <w:lvlText w:val="%1."/>
      <w:lvlJc w:val="start"/>
      <w:pPr>
        <w:tabs>
          <w:tab w:val="num" w:pos="720"/>
        </w:tabs>
        <w:ind w:start="720" w:hanging="360"/>
      </w:pPr>
      <w:rPr>
        <w:rFonts w:ascii="Calibri" w:hAnsi="Calibri"/>
        <w:i w:val="false"/>
        <w:iCs w:val="false"/>
        <w:sz w:val="16"/>
        <w:szCs w:val="16"/>
      </w:rPr>
    </w:lvl>
    <w:lvl w:ilvl="1">
      <w:start w:val="1"/>
      <w:numFmt w:val="decimal"/>
      <w:lvlText w:val="%2."/>
      <w:lvlJc w:val="start"/>
      <w:pPr>
        <w:tabs>
          <w:tab w:val="num" w:pos="1080"/>
        </w:tabs>
        <w:ind w:start="1080" w:hanging="360"/>
      </w:pPr>
      <w:rPr>
        <w:rFonts w:ascii="Calibri" w:hAnsi="Calibri"/>
        <w:i/>
        <w:iCs/>
        <w:sz w:val="16"/>
        <w:szCs w:val="16"/>
      </w:rPr>
    </w:lvl>
    <w:lvl w:ilvl="2">
      <w:start w:val="1"/>
      <w:numFmt w:val="decimal"/>
      <w:lvlText w:val="%3."/>
      <w:lvlJc w:val="start"/>
      <w:pPr>
        <w:tabs>
          <w:tab w:val="num" w:pos="1440"/>
        </w:tabs>
        <w:ind w:start="1440" w:hanging="360"/>
      </w:pPr>
      <w:rPr>
        <w:rFonts w:ascii="Calibri" w:hAnsi="Calibri"/>
        <w:i/>
        <w:iCs/>
        <w:sz w:val="16"/>
        <w:szCs w:val="16"/>
      </w:rPr>
    </w:lvl>
    <w:lvl w:ilvl="3">
      <w:start w:val="1"/>
      <w:numFmt w:val="decimal"/>
      <w:lvlText w:val="%4."/>
      <w:lvlJc w:val="start"/>
      <w:pPr>
        <w:tabs>
          <w:tab w:val="num" w:pos="1800"/>
        </w:tabs>
        <w:ind w:start="1800" w:hanging="360"/>
      </w:pPr>
      <w:rPr>
        <w:rFonts w:ascii="Calibri" w:hAnsi="Calibri"/>
        <w:i/>
        <w:iCs/>
        <w:sz w:val="16"/>
        <w:szCs w:val="16"/>
      </w:rPr>
    </w:lvl>
    <w:lvl w:ilvl="4">
      <w:start w:val="1"/>
      <w:numFmt w:val="decimal"/>
      <w:lvlText w:val="%5."/>
      <w:lvlJc w:val="start"/>
      <w:pPr>
        <w:tabs>
          <w:tab w:val="num" w:pos="2160"/>
        </w:tabs>
        <w:ind w:start="2160" w:hanging="360"/>
      </w:pPr>
      <w:rPr>
        <w:rFonts w:ascii="Calibri" w:hAnsi="Calibri"/>
        <w:i/>
        <w:iCs/>
        <w:sz w:val="16"/>
        <w:szCs w:val="16"/>
      </w:rPr>
    </w:lvl>
    <w:lvl w:ilvl="5">
      <w:start w:val="1"/>
      <w:numFmt w:val="decimal"/>
      <w:lvlText w:val="%6."/>
      <w:lvlJc w:val="start"/>
      <w:pPr>
        <w:tabs>
          <w:tab w:val="num" w:pos="2520"/>
        </w:tabs>
        <w:ind w:start="2520" w:hanging="360"/>
      </w:pPr>
      <w:rPr>
        <w:rFonts w:ascii="Calibri" w:hAnsi="Calibri"/>
        <w:i/>
        <w:iCs/>
        <w:sz w:val="16"/>
        <w:szCs w:val="16"/>
      </w:rPr>
    </w:lvl>
    <w:lvl w:ilvl="6">
      <w:start w:val="1"/>
      <w:numFmt w:val="decimal"/>
      <w:lvlText w:val="%7."/>
      <w:lvlJc w:val="start"/>
      <w:pPr>
        <w:tabs>
          <w:tab w:val="num" w:pos="2880"/>
        </w:tabs>
        <w:ind w:start="2880" w:hanging="360"/>
      </w:pPr>
      <w:rPr>
        <w:rFonts w:ascii="Calibri" w:hAnsi="Calibri"/>
        <w:i/>
        <w:iCs/>
        <w:sz w:val="16"/>
        <w:szCs w:val="16"/>
      </w:rPr>
    </w:lvl>
    <w:lvl w:ilvl="7">
      <w:start w:val="1"/>
      <w:numFmt w:val="decimal"/>
      <w:lvlText w:val="%8."/>
      <w:lvlJc w:val="start"/>
      <w:pPr>
        <w:tabs>
          <w:tab w:val="num" w:pos="3240"/>
        </w:tabs>
        <w:ind w:start="3240" w:hanging="360"/>
      </w:pPr>
      <w:rPr>
        <w:rFonts w:ascii="Calibri" w:hAnsi="Calibri"/>
        <w:i/>
        <w:iCs/>
        <w:sz w:val="16"/>
        <w:szCs w:val="16"/>
      </w:rPr>
    </w:lvl>
    <w:lvl w:ilvl="8">
      <w:start w:val="1"/>
      <w:numFmt w:val="decimal"/>
      <w:lvlText w:val="%9."/>
      <w:lvlJc w:val="start"/>
      <w:pPr>
        <w:tabs>
          <w:tab w:val="num" w:pos="3600"/>
        </w:tabs>
        <w:ind w:start="3600" w:hanging="360"/>
      </w:pPr>
      <w:rPr>
        <w:rFonts w:ascii="Calibri" w:hAnsi="Calibri"/>
        <w:i/>
        <w:iCs/>
        <w:sz w:val="16"/>
        <w:szCs w:val="16"/>
      </w:rPr>
    </w:lvl>
  </w:abstractNum>
  <w:abstractNum w:abstractNumId="8">
    <w:lvl w:ilvl="0">
      <w:start w:val="1"/>
      <w:numFmt w:val="decimal"/>
      <w:lvlText w:val="%1."/>
      <w:lvlJc w:val="start"/>
      <w:pPr>
        <w:tabs>
          <w:tab w:val="num" w:pos="720"/>
        </w:tabs>
        <w:ind w:start="720" w:hanging="360"/>
      </w:pPr>
      <w:rPr>
        <w:rFonts w:ascii="Calibri" w:hAnsi="Calibri"/>
        <w:i/>
        <w:iCs/>
        <w:sz w:val="16"/>
        <w:szCs w:val="16"/>
      </w:rPr>
    </w:lvl>
    <w:lvl w:ilvl="1">
      <w:start w:val="1"/>
      <w:numFmt w:val="decimal"/>
      <w:lvlText w:val="%2."/>
      <w:lvlJc w:val="start"/>
      <w:pPr>
        <w:tabs>
          <w:tab w:val="num" w:pos="1080"/>
        </w:tabs>
        <w:ind w:start="1080" w:hanging="360"/>
      </w:pPr>
      <w:rPr>
        <w:rFonts w:ascii="Calibri" w:hAnsi="Calibri"/>
        <w:i/>
        <w:iCs/>
        <w:sz w:val="16"/>
        <w:szCs w:val="16"/>
      </w:rPr>
    </w:lvl>
    <w:lvl w:ilvl="2">
      <w:start w:val="1"/>
      <w:numFmt w:val="decimal"/>
      <w:lvlText w:val="%3."/>
      <w:lvlJc w:val="start"/>
      <w:pPr>
        <w:tabs>
          <w:tab w:val="num" w:pos="1440"/>
        </w:tabs>
        <w:ind w:start="1440" w:hanging="360"/>
      </w:pPr>
      <w:rPr>
        <w:rFonts w:ascii="Calibri" w:hAnsi="Calibri"/>
        <w:i/>
        <w:iCs/>
        <w:sz w:val="16"/>
        <w:szCs w:val="16"/>
      </w:rPr>
    </w:lvl>
    <w:lvl w:ilvl="3">
      <w:start w:val="1"/>
      <w:numFmt w:val="decimal"/>
      <w:lvlText w:val="%4."/>
      <w:lvlJc w:val="start"/>
      <w:pPr>
        <w:tabs>
          <w:tab w:val="num" w:pos="1800"/>
        </w:tabs>
        <w:ind w:start="1800" w:hanging="360"/>
      </w:pPr>
      <w:rPr>
        <w:rFonts w:ascii="Calibri" w:hAnsi="Calibri"/>
        <w:i/>
        <w:iCs/>
        <w:sz w:val="16"/>
        <w:szCs w:val="16"/>
      </w:rPr>
    </w:lvl>
    <w:lvl w:ilvl="4">
      <w:start w:val="1"/>
      <w:numFmt w:val="decimal"/>
      <w:lvlText w:val="%5."/>
      <w:lvlJc w:val="start"/>
      <w:pPr>
        <w:tabs>
          <w:tab w:val="num" w:pos="2160"/>
        </w:tabs>
        <w:ind w:start="2160" w:hanging="360"/>
      </w:pPr>
      <w:rPr>
        <w:rFonts w:ascii="Calibri" w:hAnsi="Calibri"/>
        <w:i/>
        <w:iCs/>
        <w:sz w:val="16"/>
        <w:szCs w:val="16"/>
      </w:rPr>
    </w:lvl>
    <w:lvl w:ilvl="5">
      <w:start w:val="1"/>
      <w:numFmt w:val="decimal"/>
      <w:lvlText w:val="%6."/>
      <w:lvlJc w:val="start"/>
      <w:pPr>
        <w:tabs>
          <w:tab w:val="num" w:pos="2520"/>
        </w:tabs>
        <w:ind w:start="2520" w:hanging="360"/>
      </w:pPr>
      <w:rPr>
        <w:rFonts w:ascii="Calibri" w:hAnsi="Calibri"/>
        <w:i/>
        <w:iCs/>
        <w:sz w:val="16"/>
        <w:szCs w:val="16"/>
      </w:rPr>
    </w:lvl>
    <w:lvl w:ilvl="6">
      <w:start w:val="1"/>
      <w:numFmt w:val="decimal"/>
      <w:lvlText w:val="%7."/>
      <w:lvlJc w:val="start"/>
      <w:pPr>
        <w:tabs>
          <w:tab w:val="num" w:pos="2880"/>
        </w:tabs>
        <w:ind w:start="2880" w:hanging="360"/>
      </w:pPr>
      <w:rPr>
        <w:rFonts w:ascii="Calibri" w:hAnsi="Calibri"/>
        <w:i/>
        <w:iCs/>
        <w:sz w:val="16"/>
        <w:szCs w:val="16"/>
      </w:rPr>
    </w:lvl>
    <w:lvl w:ilvl="7">
      <w:start w:val="1"/>
      <w:numFmt w:val="decimal"/>
      <w:lvlText w:val="%8."/>
      <w:lvlJc w:val="start"/>
      <w:pPr>
        <w:tabs>
          <w:tab w:val="num" w:pos="3240"/>
        </w:tabs>
        <w:ind w:start="3240" w:hanging="360"/>
      </w:pPr>
      <w:rPr>
        <w:rFonts w:ascii="Calibri" w:hAnsi="Calibri"/>
        <w:i/>
        <w:iCs/>
        <w:sz w:val="16"/>
        <w:szCs w:val="16"/>
      </w:rPr>
    </w:lvl>
    <w:lvl w:ilvl="8">
      <w:start w:val="1"/>
      <w:numFmt w:val="decimal"/>
      <w:lvlText w:val="%9."/>
      <w:lvlJc w:val="start"/>
      <w:pPr>
        <w:tabs>
          <w:tab w:val="num" w:pos="3600"/>
        </w:tabs>
        <w:ind w:start="3600" w:hanging="360"/>
      </w:pPr>
      <w:rPr>
        <w:rFonts w:ascii="Calibri" w:hAnsi="Calibri"/>
        <w:i/>
        <w:iCs/>
        <w:sz w:val="16"/>
        <w:szCs w:val="16"/>
      </w:rPr>
    </w:lvl>
  </w:abstractNum>
  <w:abstractNum w:abstractNumId="9">
    <w:lvl w:ilvl="0">
      <w:start w:val="1"/>
      <w:numFmt w:val="decimal"/>
      <w:lvlText w:val="%1."/>
      <w:lvlJc w:val="start"/>
      <w:pPr>
        <w:tabs>
          <w:tab w:val="num" w:pos="720"/>
        </w:tabs>
        <w:ind w:start="720" w:hanging="360"/>
      </w:pPr>
      <w:rPr>
        <w:rFonts w:ascii="Calibri" w:hAnsi="Calibri"/>
        <w:i/>
        <w:iCs/>
        <w:sz w:val="16"/>
        <w:szCs w:val="16"/>
      </w:rPr>
    </w:lvl>
    <w:lvl w:ilvl="1">
      <w:start w:val="1"/>
      <w:numFmt w:val="decimal"/>
      <w:lvlText w:val="%2."/>
      <w:lvlJc w:val="start"/>
      <w:pPr>
        <w:tabs>
          <w:tab w:val="num" w:pos="1080"/>
        </w:tabs>
        <w:ind w:start="1080" w:hanging="360"/>
      </w:pPr>
      <w:rPr>
        <w:rFonts w:ascii="Calibri" w:hAnsi="Calibri"/>
        <w:i/>
        <w:iCs/>
        <w:sz w:val="16"/>
        <w:szCs w:val="16"/>
      </w:rPr>
    </w:lvl>
    <w:lvl w:ilvl="2">
      <w:start w:val="1"/>
      <w:numFmt w:val="decimal"/>
      <w:lvlText w:val="%3."/>
      <w:lvlJc w:val="start"/>
      <w:pPr>
        <w:tabs>
          <w:tab w:val="num" w:pos="1440"/>
        </w:tabs>
        <w:ind w:start="1440" w:hanging="360"/>
      </w:pPr>
      <w:rPr>
        <w:rFonts w:ascii="Calibri" w:hAnsi="Calibri"/>
        <w:i/>
        <w:iCs/>
        <w:sz w:val="16"/>
        <w:szCs w:val="16"/>
      </w:rPr>
    </w:lvl>
    <w:lvl w:ilvl="3">
      <w:start w:val="1"/>
      <w:numFmt w:val="decimal"/>
      <w:lvlText w:val="%4."/>
      <w:lvlJc w:val="start"/>
      <w:pPr>
        <w:tabs>
          <w:tab w:val="num" w:pos="1800"/>
        </w:tabs>
        <w:ind w:start="1800" w:hanging="360"/>
      </w:pPr>
      <w:rPr>
        <w:rFonts w:ascii="Calibri" w:hAnsi="Calibri"/>
        <w:i/>
        <w:iCs/>
        <w:sz w:val="16"/>
        <w:szCs w:val="16"/>
      </w:rPr>
    </w:lvl>
    <w:lvl w:ilvl="4">
      <w:start w:val="1"/>
      <w:numFmt w:val="decimal"/>
      <w:lvlText w:val="%5."/>
      <w:lvlJc w:val="start"/>
      <w:pPr>
        <w:tabs>
          <w:tab w:val="num" w:pos="2160"/>
        </w:tabs>
        <w:ind w:start="2160" w:hanging="360"/>
      </w:pPr>
      <w:rPr>
        <w:rFonts w:ascii="Calibri" w:hAnsi="Calibri"/>
        <w:i/>
        <w:iCs/>
        <w:sz w:val="16"/>
        <w:szCs w:val="16"/>
      </w:rPr>
    </w:lvl>
    <w:lvl w:ilvl="5">
      <w:start w:val="1"/>
      <w:numFmt w:val="decimal"/>
      <w:lvlText w:val="%6."/>
      <w:lvlJc w:val="start"/>
      <w:pPr>
        <w:tabs>
          <w:tab w:val="num" w:pos="2520"/>
        </w:tabs>
        <w:ind w:start="2520" w:hanging="360"/>
      </w:pPr>
      <w:rPr>
        <w:rFonts w:ascii="Calibri" w:hAnsi="Calibri"/>
        <w:i/>
        <w:iCs/>
        <w:sz w:val="16"/>
        <w:szCs w:val="16"/>
      </w:rPr>
    </w:lvl>
    <w:lvl w:ilvl="6">
      <w:start w:val="1"/>
      <w:numFmt w:val="decimal"/>
      <w:lvlText w:val="%7."/>
      <w:lvlJc w:val="start"/>
      <w:pPr>
        <w:tabs>
          <w:tab w:val="num" w:pos="2880"/>
        </w:tabs>
        <w:ind w:start="2880" w:hanging="360"/>
      </w:pPr>
      <w:rPr>
        <w:rFonts w:ascii="Calibri" w:hAnsi="Calibri"/>
        <w:i/>
        <w:iCs/>
        <w:sz w:val="16"/>
        <w:szCs w:val="16"/>
      </w:rPr>
    </w:lvl>
    <w:lvl w:ilvl="7">
      <w:start w:val="1"/>
      <w:numFmt w:val="decimal"/>
      <w:lvlText w:val="%8."/>
      <w:lvlJc w:val="start"/>
      <w:pPr>
        <w:tabs>
          <w:tab w:val="num" w:pos="3240"/>
        </w:tabs>
        <w:ind w:start="3240" w:hanging="360"/>
      </w:pPr>
      <w:rPr>
        <w:rFonts w:ascii="Calibri" w:hAnsi="Calibri"/>
        <w:i/>
        <w:iCs/>
        <w:sz w:val="16"/>
        <w:szCs w:val="16"/>
      </w:rPr>
    </w:lvl>
    <w:lvl w:ilvl="8">
      <w:start w:val="1"/>
      <w:numFmt w:val="decimal"/>
      <w:lvlText w:val="%9."/>
      <w:lvlJc w:val="start"/>
      <w:pPr>
        <w:tabs>
          <w:tab w:val="num" w:pos="3600"/>
        </w:tabs>
        <w:ind w:start="3600" w:hanging="360"/>
      </w:pPr>
      <w:rPr>
        <w:rFonts w:ascii="Calibri" w:hAnsi="Calibri"/>
        <w:i/>
        <w:iCs/>
        <w:sz w:val="16"/>
        <w:szCs w:val="16"/>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2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76" w:before="0" w:after="200"/>
      <w:jc w:val="star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NumberingSymbols">
    <w:name w:val="Numbering Symbols"/>
    <w:qFormat/>
    <w:rPr>
      <w:rFonts w:ascii="Calibri" w:hAnsi="Calibri"/>
      <w:i/>
      <w:iCs/>
      <w:sz w:val="16"/>
      <w:szCs w:val="16"/>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200"/>
      <w:ind w:hanging="360" w:start="720"/>
      <w:contextualSpacing/>
    </w:pPr>
    <w:rPr/>
  </w:style>
  <w:style w:type="paragraph" w:styleId="List3">
    <w:name w:val="List 3"/>
    <w:basedOn w:val="Normal"/>
    <w:uiPriority w:val="99"/>
    <w:unhideWhenUsed/>
    <w:qFormat/>
    <w:rsid w:val="00326f90"/>
    <w:pPr>
      <w:spacing w:before="0" w:after="200"/>
      <w:ind w:hanging="360" w:star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ournals.castpubs.com/jpgi/author-guidelin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Application>LibreOffice/26.2.5.2$Linux_X86_64 LibreOffice_project/620$Build-2</Application>
  <AppVersion>15.0000</AppVersion>
  <Pages>2</Pages>
  <Words>857</Words>
  <Characters>6232</Characters>
  <CharactersWithSpaces>7017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2026-08-18T03:17:42Z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